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E5" w:rsidRDefault="006B16FB" w:rsidP="006B16FB">
      <w:pPr>
        <w:rPr>
          <w:color w:val="000000"/>
          <w:sz w:val="27"/>
          <w:szCs w:val="27"/>
        </w:rPr>
      </w:pPr>
      <w:hyperlink r:id="rId5" w:history="1">
        <w:r w:rsidRPr="0098481D">
          <w:rPr>
            <w:rStyle w:val="a3"/>
            <w:sz w:val="27"/>
            <w:szCs w:val="27"/>
          </w:rPr>
          <w:t>https://www.genproc.gov.ru/anticor/</w:t>
        </w:r>
      </w:hyperlink>
    </w:p>
    <w:p w:rsidR="006B16FB" w:rsidRPr="006B16FB" w:rsidRDefault="006B16FB" w:rsidP="006B16FB">
      <w:bookmarkStart w:id="0" w:name="_GoBack"/>
      <w:bookmarkEnd w:id="0"/>
    </w:p>
    <w:sectPr w:rsidR="006B16FB" w:rsidRPr="006B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8"/>
    <w:rsid w:val="006B16FB"/>
    <w:rsid w:val="00AC04E8"/>
    <w:rsid w:val="00E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nproc.gov.ru/antic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2018-11-19T05:06:00Z</dcterms:created>
  <dcterms:modified xsi:type="dcterms:W3CDTF">2018-11-19T05:07:00Z</dcterms:modified>
</cp:coreProperties>
</file>